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F591E3" w14:textId="6D61BCFF" w:rsidR="00CA6879" w:rsidRPr="002351D8" w:rsidRDefault="002351D8">
      <w:pPr>
        <w:pStyle w:val="Heading1"/>
        <w:rPr>
          <w:rFonts w:ascii="Times New Roman" w:eastAsia="Times New Roman" w:hAnsi="Times New Roman" w:cs="Times New Roman"/>
          <w:color w:val="000000"/>
          <w:lang w:val="bs-Latn-BA"/>
        </w:rPr>
      </w:pPr>
      <w:r w:rsidRPr="002351D8">
        <w:rPr>
          <w:rFonts w:ascii="Times New Roman" w:eastAsia="Times New Roman" w:hAnsi="Times New Roman" w:cs="Times New Roman"/>
          <w:color w:val="000000"/>
          <w:lang w:val="bs-Latn-BA"/>
        </w:rPr>
        <w:t>OBRAZAC</w:t>
      </w:r>
      <w:r w:rsidR="005B1CA7" w:rsidRPr="002351D8">
        <w:rPr>
          <w:rFonts w:ascii="Times New Roman" w:eastAsia="Times New Roman" w:hAnsi="Times New Roman" w:cs="Times New Roman"/>
          <w:color w:val="000000"/>
          <w:lang w:val="bs-Latn-BA"/>
        </w:rPr>
        <w:t xml:space="preserve"> AVANSNE GARANCIJE </w:t>
      </w:r>
    </w:p>
    <w:p w14:paraId="30EA9EDD" w14:textId="77777777" w:rsidR="00CA6879" w:rsidRPr="002351D8" w:rsidRDefault="00CA6879">
      <w:pPr>
        <w:jc w:val="both"/>
        <w:rPr>
          <w:sz w:val="22"/>
          <w:szCs w:val="22"/>
          <w:lang w:val="bs-Latn-BA"/>
        </w:rPr>
      </w:pPr>
    </w:p>
    <w:p w14:paraId="33DD3F41" w14:textId="4098AC1E" w:rsidR="00CA6879" w:rsidRPr="002351D8" w:rsidRDefault="00027BB5">
      <w:pPr>
        <w:jc w:val="center"/>
        <w:rPr>
          <w:sz w:val="22"/>
          <w:szCs w:val="22"/>
          <w:lang w:val="bs-Latn-BA"/>
        </w:rPr>
      </w:pPr>
      <w:r w:rsidRPr="002351D8">
        <w:rPr>
          <w:sz w:val="22"/>
          <w:szCs w:val="22"/>
          <w:lang w:val="bs-Latn-BA"/>
        </w:rPr>
        <w:t>(</w:t>
      </w:r>
      <w:r w:rsidR="005B1CA7" w:rsidRPr="00211350">
        <w:rPr>
          <w:sz w:val="22"/>
          <w:szCs w:val="22"/>
          <w:highlight w:val="cyan"/>
          <w:lang w:val="bs-Latn-BA"/>
        </w:rPr>
        <w:t>Napisati na papiru sa memorandumom finansijske ustanove</w:t>
      </w:r>
      <w:r w:rsidRPr="002351D8">
        <w:rPr>
          <w:sz w:val="22"/>
          <w:szCs w:val="22"/>
          <w:lang w:val="bs-Latn-BA"/>
        </w:rPr>
        <w:t>)</w:t>
      </w:r>
    </w:p>
    <w:p w14:paraId="49D07894" w14:textId="77777777" w:rsidR="00CA6879" w:rsidRPr="002351D8" w:rsidRDefault="00CA6879">
      <w:pPr>
        <w:jc w:val="both"/>
        <w:rPr>
          <w:sz w:val="22"/>
          <w:szCs w:val="22"/>
          <w:lang w:val="bs-Latn-BA"/>
        </w:rPr>
      </w:pPr>
    </w:p>
    <w:p w14:paraId="5DAEA90B" w14:textId="40302B66" w:rsidR="00CA6879" w:rsidRPr="002351D8" w:rsidRDefault="005B1CA7">
      <w:pPr>
        <w:jc w:val="center"/>
        <w:rPr>
          <w:sz w:val="22"/>
          <w:szCs w:val="22"/>
          <w:lang w:val="bs-Latn-BA"/>
        </w:rPr>
      </w:pPr>
      <w:bookmarkStart w:id="0" w:name="_GoBack"/>
      <w:bookmarkEnd w:id="0"/>
      <w:r w:rsidRPr="002351D8">
        <w:rPr>
          <w:sz w:val="22"/>
          <w:szCs w:val="22"/>
          <w:lang w:val="bs-Latn-BA"/>
        </w:rPr>
        <w:t>Za</w:t>
      </w:r>
    </w:p>
    <w:p w14:paraId="3F76713A" w14:textId="77777777" w:rsidR="002351D8" w:rsidRPr="002351D8" w:rsidRDefault="002351D8" w:rsidP="002351D8">
      <w:pPr>
        <w:jc w:val="center"/>
        <w:rPr>
          <w:sz w:val="22"/>
          <w:szCs w:val="22"/>
          <w:lang w:val="bs-Latn-BA"/>
        </w:rPr>
      </w:pPr>
      <w:r w:rsidRPr="002351D8">
        <w:rPr>
          <w:sz w:val="22"/>
          <w:szCs w:val="22"/>
          <w:lang w:val="bs-Latn-BA"/>
        </w:rPr>
        <w:t>Udruženje Centar za razvoj i podršku (CRP)</w:t>
      </w:r>
    </w:p>
    <w:p w14:paraId="3DE29AAF" w14:textId="77777777" w:rsidR="002351D8" w:rsidRPr="002351D8" w:rsidRDefault="002351D8" w:rsidP="002351D8">
      <w:pPr>
        <w:jc w:val="center"/>
        <w:rPr>
          <w:sz w:val="22"/>
          <w:szCs w:val="22"/>
          <w:lang w:val="bs-Latn-BA"/>
        </w:rPr>
      </w:pPr>
      <w:r w:rsidRPr="002351D8">
        <w:rPr>
          <w:sz w:val="22"/>
          <w:szCs w:val="22"/>
          <w:lang w:val="bs-Latn-BA"/>
        </w:rPr>
        <w:t xml:space="preserve">Turalibegova 36, </w:t>
      </w:r>
    </w:p>
    <w:p w14:paraId="12FDB5AF" w14:textId="3954F288" w:rsidR="002351D8" w:rsidRPr="002351D8" w:rsidRDefault="002351D8" w:rsidP="002351D8">
      <w:pPr>
        <w:jc w:val="center"/>
        <w:rPr>
          <w:sz w:val="22"/>
          <w:szCs w:val="22"/>
          <w:lang w:val="bs-Latn-BA"/>
        </w:rPr>
      </w:pPr>
      <w:r w:rsidRPr="002351D8">
        <w:rPr>
          <w:sz w:val="22"/>
          <w:szCs w:val="22"/>
          <w:lang w:val="bs-Latn-BA"/>
        </w:rPr>
        <w:t>75000 Tuzla, Bosna i Hercegovina</w:t>
      </w:r>
    </w:p>
    <w:p w14:paraId="32126ACC" w14:textId="32AF7924" w:rsidR="00CA6879" w:rsidRPr="002351D8" w:rsidRDefault="005B1CA7">
      <w:pPr>
        <w:jc w:val="center"/>
        <w:rPr>
          <w:sz w:val="22"/>
          <w:szCs w:val="22"/>
          <w:lang w:val="bs-Latn-BA"/>
        </w:rPr>
      </w:pPr>
      <w:r w:rsidRPr="002351D8">
        <w:rPr>
          <w:sz w:val="22"/>
          <w:szCs w:val="22"/>
          <w:lang w:val="bs-Latn-BA"/>
        </w:rPr>
        <w:t xml:space="preserve">U daljem tekstu </w:t>
      </w:r>
      <w:r w:rsidR="00027BB5" w:rsidRPr="002351D8">
        <w:rPr>
          <w:sz w:val="22"/>
          <w:szCs w:val="22"/>
          <w:lang w:val="bs-Latn-BA"/>
        </w:rPr>
        <w:t>“</w:t>
      </w:r>
      <w:r w:rsidRPr="002351D8">
        <w:rPr>
          <w:sz w:val="22"/>
          <w:szCs w:val="22"/>
          <w:lang w:val="bs-Latn-BA"/>
        </w:rPr>
        <w:t>Ugovorni organ</w:t>
      </w:r>
      <w:r w:rsidR="00027BB5" w:rsidRPr="002351D8">
        <w:rPr>
          <w:sz w:val="22"/>
          <w:szCs w:val="22"/>
          <w:lang w:val="bs-Latn-BA"/>
        </w:rPr>
        <w:t>”</w:t>
      </w:r>
    </w:p>
    <w:p w14:paraId="0797EB2E" w14:textId="77777777" w:rsidR="00CA6879" w:rsidRPr="002351D8" w:rsidRDefault="00CA6879">
      <w:pPr>
        <w:jc w:val="center"/>
        <w:rPr>
          <w:sz w:val="22"/>
          <w:szCs w:val="22"/>
          <w:lang w:val="bs-Latn-BA"/>
        </w:rPr>
      </w:pPr>
    </w:p>
    <w:p w14:paraId="6A25F9BB" w14:textId="0D0B1337" w:rsidR="00CA6879" w:rsidRPr="002351D8" w:rsidRDefault="005B1CA7">
      <w:pPr>
        <w:spacing w:before="120" w:after="120"/>
        <w:jc w:val="both"/>
        <w:rPr>
          <w:sz w:val="22"/>
          <w:szCs w:val="22"/>
          <w:lang w:val="bs-Latn-BA"/>
        </w:rPr>
      </w:pPr>
      <w:r w:rsidRPr="002351D8">
        <w:rPr>
          <w:sz w:val="22"/>
          <w:szCs w:val="22"/>
          <w:lang w:val="bs-Latn-BA"/>
        </w:rPr>
        <w:t>Predme</w:t>
      </w:r>
      <w:r w:rsidR="00027BB5" w:rsidRPr="002351D8">
        <w:rPr>
          <w:sz w:val="22"/>
          <w:szCs w:val="22"/>
          <w:lang w:val="bs-Latn-BA"/>
        </w:rPr>
        <w:t xml:space="preserve">t: </w:t>
      </w:r>
      <w:r w:rsidRPr="002351D8">
        <w:rPr>
          <w:sz w:val="22"/>
          <w:szCs w:val="22"/>
          <w:lang w:val="bs-Latn-BA"/>
        </w:rPr>
        <w:t xml:space="preserve">Garancija Br. </w:t>
      </w:r>
      <w:r w:rsidR="00027BB5" w:rsidRPr="002351D8">
        <w:rPr>
          <w:sz w:val="22"/>
          <w:szCs w:val="22"/>
          <w:lang w:val="bs-Latn-BA"/>
        </w:rPr>
        <w:t>…</w:t>
      </w:r>
    </w:p>
    <w:p w14:paraId="20CCE367" w14:textId="35B39A72" w:rsidR="005B1CA7" w:rsidRPr="002351D8" w:rsidRDefault="005B1CA7" w:rsidP="002351D8">
      <w:pPr>
        <w:spacing w:before="60" w:after="120"/>
        <w:jc w:val="both"/>
        <w:rPr>
          <w:sz w:val="22"/>
          <w:szCs w:val="22"/>
          <w:lang w:val="bs-Latn-BA"/>
        </w:rPr>
      </w:pPr>
      <w:r w:rsidRPr="002351D8">
        <w:rPr>
          <w:sz w:val="22"/>
          <w:szCs w:val="22"/>
          <w:lang w:val="bs-Latn-BA"/>
        </w:rPr>
        <w:t xml:space="preserve">Financijska garancija za otplatu avansa koji se plaća prema ugovoru </w:t>
      </w:r>
      <w:r w:rsidR="002351D8" w:rsidRPr="002351D8">
        <w:rPr>
          <w:sz w:val="22"/>
          <w:szCs w:val="22"/>
          <w:lang w:val="bs-Latn-BA"/>
        </w:rPr>
        <w:t xml:space="preserve">br. </w:t>
      </w:r>
      <w:r w:rsidR="002351D8" w:rsidRPr="002351D8">
        <w:rPr>
          <w:sz w:val="22"/>
          <w:szCs w:val="22"/>
          <w:highlight w:val="cyan"/>
          <w:lang w:val="bs-Latn-BA"/>
        </w:rPr>
        <w:t xml:space="preserve">&lt;Broj ugovora &gt; </w:t>
      </w:r>
      <w:r w:rsidR="002351D8" w:rsidRPr="002351D8">
        <w:rPr>
          <w:sz w:val="22"/>
          <w:szCs w:val="22"/>
          <w:lang w:val="bs-Latn-BA"/>
        </w:rPr>
        <w:t xml:space="preserve">pod nazivom “Izvođenje radova na energetskoj obnovi objekta laboratorijskog kompleksa Mašinskog fakulteta u Tuzli u okviru kampusa Univerziteta u Tuzli (postojeći objekat KN-151)” </w:t>
      </w:r>
      <w:r w:rsidRPr="002351D8">
        <w:rPr>
          <w:sz w:val="22"/>
          <w:szCs w:val="22"/>
          <w:lang w:val="bs-Latn-BA"/>
        </w:rPr>
        <w:t>(navedite broj i naslov u cijeloj korespondenciji)</w:t>
      </w:r>
    </w:p>
    <w:p w14:paraId="36BC56DD" w14:textId="39E191D5" w:rsidR="002351D8" w:rsidRPr="002351D8" w:rsidRDefault="005B1CA7" w:rsidP="002351D8">
      <w:pPr>
        <w:spacing w:before="120" w:after="120"/>
        <w:jc w:val="both"/>
        <w:rPr>
          <w:sz w:val="22"/>
          <w:szCs w:val="22"/>
          <w:lang w:val="bs-Latn-BA"/>
        </w:rPr>
      </w:pPr>
      <w:r w:rsidRPr="002351D8">
        <w:rPr>
          <w:sz w:val="22"/>
          <w:szCs w:val="22"/>
          <w:lang w:val="bs-Latn-BA"/>
        </w:rPr>
        <w:t>Mi dolje potpisani, &lt;</w:t>
      </w:r>
      <w:r w:rsidRPr="00211350">
        <w:rPr>
          <w:sz w:val="22"/>
          <w:szCs w:val="22"/>
          <w:highlight w:val="cyan"/>
          <w:lang w:val="bs-Latn-BA"/>
        </w:rPr>
        <w:t>naziv i adresa financijske institucije</w:t>
      </w:r>
      <w:r w:rsidRPr="002351D8">
        <w:rPr>
          <w:sz w:val="22"/>
          <w:szCs w:val="22"/>
          <w:lang w:val="bs-Latn-BA"/>
        </w:rPr>
        <w:t>&gt;, ovime neopozivo izjavljujemo da jamčimo kao primarni obveznik, a ne samo kao  garant u ime &lt;</w:t>
      </w:r>
      <w:r w:rsidR="00211350" w:rsidRPr="00211350">
        <w:rPr>
          <w:sz w:val="22"/>
          <w:szCs w:val="22"/>
          <w:highlight w:val="cyan"/>
          <w:lang w:val="bs-Latn-BA"/>
        </w:rPr>
        <w:t>naziv</w:t>
      </w:r>
      <w:r w:rsidRPr="00211350">
        <w:rPr>
          <w:sz w:val="22"/>
          <w:szCs w:val="22"/>
          <w:highlight w:val="cyan"/>
          <w:lang w:val="bs-Latn-BA"/>
        </w:rPr>
        <w:t xml:space="preserve"> i adresa izvođača</w:t>
      </w:r>
      <w:r w:rsidRPr="002351D8">
        <w:rPr>
          <w:sz w:val="22"/>
          <w:szCs w:val="22"/>
          <w:lang w:val="bs-Latn-BA"/>
        </w:rPr>
        <w:t>&gt;, u daljnjem tekstu "</w:t>
      </w:r>
      <w:r w:rsidR="00211350">
        <w:rPr>
          <w:sz w:val="22"/>
          <w:szCs w:val="22"/>
          <w:lang w:val="bs-Latn-BA"/>
        </w:rPr>
        <w:t>I</w:t>
      </w:r>
      <w:r w:rsidRPr="002351D8">
        <w:rPr>
          <w:sz w:val="22"/>
          <w:szCs w:val="22"/>
          <w:lang w:val="bs-Latn-BA"/>
        </w:rPr>
        <w:t>zvođač", plaćanje Ugovornom organu iznosa od &lt;</w:t>
      </w:r>
      <w:r w:rsidRPr="00211350">
        <w:rPr>
          <w:sz w:val="22"/>
          <w:szCs w:val="22"/>
          <w:highlight w:val="cyan"/>
          <w:lang w:val="bs-Latn-BA"/>
        </w:rPr>
        <w:t>navesti iznos avansa</w:t>
      </w:r>
      <w:r w:rsidRPr="002351D8">
        <w:rPr>
          <w:sz w:val="22"/>
          <w:szCs w:val="22"/>
          <w:lang w:val="bs-Latn-BA"/>
        </w:rPr>
        <w:t xml:space="preserve">&gt;, što odgovara avansu kako je navedeno u članu 46. </w:t>
      </w:r>
      <w:r w:rsidR="002351D8" w:rsidRPr="002351D8">
        <w:rPr>
          <w:sz w:val="22"/>
          <w:szCs w:val="22"/>
          <w:lang w:val="bs-Latn-BA"/>
        </w:rPr>
        <w:t>Specijalnih</w:t>
      </w:r>
      <w:r w:rsidRPr="002351D8">
        <w:rPr>
          <w:sz w:val="22"/>
          <w:szCs w:val="22"/>
          <w:lang w:val="bs-Latn-BA"/>
        </w:rPr>
        <w:t xml:space="preserve"> uvjeta </w:t>
      </w:r>
      <w:r w:rsidR="002351D8" w:rsidRPr="002351D8">
        <w:rPr>
          <w:sz w:val="22"/>
          <w:szCs w:val="22"/>
          <w:lang w:val="bs-Latn-BA"/>
        </w:rPr>
        <w:t xml:space="preserve">Ugovora </w:t>
      </w:r>
      <w:r w:rsidR="002351D8" w:rsidRPr="002351D8">
        <w:rPr>
          <w:sz w:val="22"/>
          <w:szCs w:val="22"/>
          <w:highlight w:val="cyan"/>
          <w:lang w:val="bs-Latn-BA"/>
        </w:rPr>
        <w:t>&lt;broj&gt;</w:t>
      </w:r>
      <w:r w:rsidR="002351D8" w:rsidRPr="002351D8">
        <w:rPr>
          <w:sz w:val="22"/>
          <w:szCs w:val="22"/>
          <w:lang w:val="bs-Latn-BA"/>
        </w:rPr>
        <w:t xml:space="preserve"> pod nazivom “Izvođenje radova na energetskoj obnovi objekta laboratorijskog kompleksa Mašinskog fakulteta u Tuzli u okviru kampusa Univerziteta u Tuzli (postojeći objekat KN-151)”, potpisanog između Izvođača i Ugovornog organa (u daljnjem tekstu “Ugovor”).</w:t>
      </w:r>
    </w:p>
    <w:p w14:paraId="7EBB366E" w14:textId="630E4D67" w:rsidR="00CA6879" w:rsidRPr="002351D8" w:rsidRDefault="00B6761C" w:rsidP="00B6761C">
      <w:pPr>
        <w:spacing w:before="120" w:after="120"/>
        <w:jc w:val="both"/>
        <w:rPr>
          <w:sz w:val="22"/>
          <w:szCs w:val="22"/>
          <w:lang w:val="bs-Latn-BA"/>
        </w:rPr>
      </w:pPr>
      <w:r w:rsidRPr="002351D8">
        <w:rPr>
          <w:sz w:val="22"/>
          <w:szCs w:val="22"/>
          <w:lang w:val="bs-Latn-BA"/>
        </w:rPr>
        <w:t>Plaćanje će se izvršiti bez prigovora ili pravnih postupaka bilo koje vrste, po primitku vašeg prvog pisanog zahtjeva (poslanog preporučenim pismom s potvrdom ili povratnicom) u kojem se navodi da Izvođač nije vratio avans na zahtjev ili da je Ugovor raskinut. Nećemo odgađati isplatu, niti ćemo se tome protiviti iz bilo kojeg razloga. Obavijestit ćemo vas pisanim putem čim plaćanje bude izvršeno</w:t>
      </w:r>
      <w:r w:rsidR="00027BB5" w:rsidRPr="002351D8">
        <w:rPr>
          <w:sz w:val="22"/>
          <w:szCs w:val="22"/>
          <w:lang w:val="bs-Latn-BA"/>
        </w:rPr>
        <w:t>.</w:t>
      </w:r>
    </w:p>
    <w:p w14:paraId="3AFE3EA7" w14:textId="77777777" w:rsidR="002351D8" w:rsidRPr="002351D8" w:rsidRDefault="002351D8" w:rsidP="002351D8">
      <w:pPr>
        <w:spacing w:before="120" w:after="120"/>
        <w:jc w:val="both"/>
        <w:rPr>
          <w:sz w:val="22"/>
          <w:szCs w:val="22"/>
          <w:lang w:val="bs-Latn-BA"/>
        </w:rPr>
      </w:pPr>
      <w:r w:rsidRPr="002351D8">
        <w:rPr>
          <w:sz w:val="22"/>
          <w:szCs w:val="22"/>
          <w:lang w:val="bs-Latn-BA"/>
        </w:rPr>
        <w:t>Ovim prihvatamo da nas nikakve izmjene i dopune uslova Ugovora ne mogu osloboditi od obaveza iz ove garancije. Odričemo se prava da budemo obaviješteni o bilo kakvoj promjeni, dodatku, ili izmjeni i dopuni na Ugovor.</w:t>
      </w:r>
    </w:p>
    <w:p w14:paraId="46B64F21" w14:textId="77777777" w:rsidR="002351D8" w:rsidRPr="002351D8" w:rsidRDefault="002351D8" w:rsidP="002351D8">
      <w:pPr>
        <w:spacing w:before="120" w:after="120"/>
        <w:jc w:val="both"/>
        <w:rPr>
          <w:sz w:val="22"/>
          <w:szCs w:val="22"/>
          <w:lang w:val="bs-Latn-BA"/>
        </w:rPr>
      </w:pPr>
      <w:r w:rsidRPr="002351D8">
        <w:rPr>
          <w:sz w:val="22"/>
          <w:szCs w:val="22"/>
          <w:lang w:val="bs-Latn-BA"/>
        </w:rPr>
        <w:t xml:space="preserve">Napominjemo da će garancija biti oslobođena u skladu sa članom 46.7 Specijalnih uvjeta Ugovora. </w:t>
      </w:r>
    </w:p>
    <w:p w14:paraId="47F70CE0" w14:textId="77777777" w:rsidR="002351D8" w:rsidRPr="002351D8" w:rsidRDefault="002351D8" w:rsidP="002351D8">
      <w:pPr>
        <w:spacing w:before="120" w:after="120"/>
        <w:jc w:val="both"/>
        <w:rPr>
          <w:sz w:val="22"/>
          <w:szCs w:val="22"/>
          <w:lang w:val="bs-Latn-BA"/>
        </w:rPr>
      </w:pPr>
      <w:r w:rsidRPr="002351D8">
        <w:rPr>
          <w:sz w:val="22"/>
          <w:szCs w:val="22"/>
          <w:lang w:val="bs-Latn-BA" w:eastAsia="en-GB"/>
        </w:rPr>
        <w:t>Zakon koji se primjenjuje na ovu garanciju će biti zakon zemlje u kojoj je osnovana finansijska institucija koja izdaje garanciju. Bilo kakav spor koji nastane iz ili u vezi ove garancije će se rješavati na sudovima zemlje u kojoj je osnovana finansijska institucija koja izdaje garanciju.</w:t>
      </w:r>
    </w:p>
    <w:p w14:paraId="6BB5D1B4" w14:textId="77777777" w:rsidR="002351D8" w:rsidRPr="002351D8" w:rsidRDefault="002351D8" w:rsidP="002351D8">
      <w:pPr>
        <w:spacing w:before="120" w:after="120"/>
        <w:jc w:val="both"/>
        <w:rPr>
          <w:sz w:val="22"/>
          <w:szCs w:val="22"/>
          <w:lang w:val="bs-Latn-BA"/>
        </w:rPr>
      </w:pPr>
      <w:r w:rsidRPr="002351D8">
        <w:rPr>
          <w:sz w:val="22"/>
          <w:szCs w:val="22"/>
          <w:lang w:val="bs-Latn-BA"/>
        </w:rPr>
        <w:t xml:space="preserve">Ova garancija stupa na snagu odmah po prijemu avansne uplate na račun kojeg je Izvođač odredio za prijem uplata. </w:t>
      </w:r>
    </w:p>
    <w:p w14:paraId="2614F8D5" w14:textId="77777777" w:rsidR="00CA6879" w:rsidRPr="002351D8" w:rsidRDefault="00CA6879">
      <w:pPr>
        <w:tabs>
          <w:tab w:val="left" w:pos="1134"/>
          <w:tab w:val="left" w:pos="5387"/>
        </w:tabs>
        <w:jc w:val="both"/>
        <w:rPr>
          <w:sz w:val="22"/>
          <w:szCs w:val="22"/>
          <w:lang w:val="bs-Latn-BA"/>
        </w:rPr>
      </w:pPr>
    </w:p>
    <w:p w14:paraId="3F89A205" w14:textId="77777777" w:rsidR="002351D8" w:rsidRPr="002351D8" w:rsidRDefault="002351D8" w:rsidP="002351D8">
      <w:pPr>
        <w:spacing w:before="100" w:beforeAutospacing="1" w:after="100" w:afterAutospacing="1"/>
        <w:rPr>
          <w:sz w:val="22"/>
          <w:szCs w:val="22"/>
          <w:lang w:val="bs-Latn-BA" w:eastAsia="en-GB"/>
        </w:rPr>
      </w:pPr>
      <w:r w:rsidRPr="002351D8">
        <w:rPr>
          <w:sz w:val="22"/>
          <w:szCs w:val="22"/>
          <w:lang w:val="bs-Latn-BA" w:eastAsia="en-GB"/>
        </w:rPr>
        <w:t xml:space="preserve">Potpisano </w:t>
      </w:r>
      <w:r w:rsidRPr="002351D8">
        <w:rPr>
          <w:sz w:val="22"/>
          <w:szCs w:val="22"/>
          <w:highlight w:val="cyan"/>
          <w:lang w:val="bs-Latn-BA" w:eastAsia="en-GB"/>
        </w:rPr>
        <w:t>u [</w:t>
      </w:r>
      <w:r w:rsidRPr="002351D8">
        <w:rPr>
          <w:i/>
          <w:sz w:val="22"/>
          <w:szCs w:val="22"/>
          <w:highlight w:val="cyan"/>
          <w:lang w:val="bs-Latn-BA" w:eastAsia="en-GB"/>
        </w:rPr>
        <w:t>upisati mjesto</w:t>
      </w:r>
      <w:r w:rsidRPr="002351D8">
        <w:rPr>
          <w:sz w:val="22"/>
          <w:szCs w:val="22"/>
          <w:highlight w:val="cyan"/>
          <w:lang w:val="bs-Latn-BA" w:eastAsia="en-GB"/>
        </w:rPr>
        <w:t>],</w:t>
      </w:r>
      <w:r w:rsidRPr="002351D8">
        <w:rPr>
          <w:sz w:val="22"/>
          <w:szCs w:val="22"/>
          <w:lang w:val="bs-Latn-BA" w:eastAsia="en-GB"/>
        </w:rPr>
        <w:t xml:space="preserve"> dana </w:t>
      </w:r>
      <w:r w:rsidRPr="002351D8">
        <w:rPr>
          <w:sz w:val="22"/>
          <w:szCs w:val="22"/>
          <w:highlight w:val="cyan"/>
          <w:lang w:val="bs-Latn-BA" w:eastAsia="en-GB"/>
        </w:rPr>
        <w:t>[</w:t>
      </w:r>
      <w:r w:rsidRPr="002351D8">
        <w:rPr>
          <w:i/>
          <w:sz w:val="22"/>
          <w:szCs w:val="22"/>
          <w:highlight w:val="cyan"/>
          <w:lang w:val="bs-Latn-BA" w:eastAsia="en-GB"/>
        </w:rPr>
        <w:t>upisati datum</w:t>
      </w:r>
      <w:r w:rsidRPr="002351D8">
        <w:rPr>
          <w:sz w:val="22"/>
          <w:szCs w:val="22"/>
          <w:highlight w:val="cyan"/>
          <w:lang w:val="bs-Latn-BA" w:eastAsia="en-GB"/>
        </w:rPr>
        <w:t>]</w:t>
      </w:r>
    </w:p>
    <w:tbl>
      <w:tblPr>
        <w:tblW w:w="0" w:type="auto"/>
        <w:tblLook w:val="04A0" w:firstRow="1" w:lastRow="0" w:firstColumn="1" w:lastColumn="0" w:noHBand="0" w:noVBand="1"/>
      </w:tblPr>
      <w:tblGrid>
        <w:gridCol w:w="4656"/>
        <w:gridCol w:w="4655"/>
      </w:tblGrid>
      <w:tr w:rsidR="002351D8" w:rsidRPr="002351D8" w14:paraId="580F529B" w14:textId="77777777" w:rsidTr="00C04D13">
        <w:tc>
          <w:tcPr>
            <w:tcW w:w="4714" w:type="dxa"/>
            <w:shd w:val="clear" w:color="auto" w:fill="auto"/>
          </w:tcPr>
          <w:p w14:paraId="1E196EF0" w14:textId="77777777" w:rsidR="002351D8" w:rsidRPr="002351D8" w:rsidRDefault="002351D8" w:rsidP="00C04D13">
            <w:pPr>
              <w:spacing w:before="100" w:beforeAutospacing="1" w:after="100" w:afterAutospacing="1"/>
              <w:rPr>
                <w:sz w:val="22"/>
                <w:szCs w:val="22"/>
                <w:highlight w:val="cyan"/>
                <w:lang w:val="bs-Latn-BA" w:eastAsia="en-GB"/>
              </w:rPr>
            </w:pPr>
            <w:r w:rsidRPr="002351D8">
              <w:rPr>
                <w:sz w:val="22"/>
                <w:szCs w:val="22"/>
                <w:highlight w:val="cyan"/>
                <w:lang w:val="bs-Latn-BA" w:eastAsia="en-GB"/>
              </w:rPr>
              <w:t>[</w:t>
            </w:r>
            <w:r w:rsidRPr="002351D8">
              <w:rPr>
                <w:i/>
                <w:sz w:val="22"/>
                <w:szCs w:val="22"/>
                <w:highlight w:val="cyan"/>
                <w:lang w:val="bs-Latn-BA" w:eastAsia="en-GB"/>
              </w:rPr>
              <w:t>Potpis</w:t>
            </w:r>
            <w:r w:rsidRPr="002351D8">
              <w:rPr>
                <w:sz w:val="22"/>
                <w:szCs w:val="22"/>
                <w:highlight w:val="cyan"/>
                <w:lang w:val="bs-Latn-BA" w:eastAsia="en-GB"/>
              </w:rPr>
              <w:t>]</w:t>
            </w:r>
          </w:p>
          <w:p w14:paraId="50C1ADDA" w14:textId="77777777" w:rsidR="002351D8" w:rsidRPr="002351D8" w:rsidRDefault="002351D8" w:rsidP="00C04D13">
            <w:pPr>
              <w:spacing w:before="100" w:beforeAutospacing="1" w:after="100" w:afterAutospacing="1"/>
              <w:rPr>
                <w:sz w:val="22"/>
                <w:szCs w:val="22"/>
                <w:highlight w:val="cyan"/>
                <w:lang w:val="bs-Latn-BA" w:eastAsia="en-GB"/>
              </w:rPr>
            </w:pPr>
            <w:r w:rsidRPr="002351D8">
              <w:rPr>
                <w:sz w:val="22"/>
                <w:szCs w:val="22"/>
                <w:highlight w:val="cyan"/>
                <w:lang w:val="bs-Latn-BA" w:eastAsia="en-GB"/>
              </w:rPr>
              <w:t>[</w:t>
            </w:r>
            <w:r w:rsidRPr="002351D8">
              <w:rPr>
                <w:i/>
                <w:sz w:val="22"/>
                <w:szCs w:val="22"/>
                <w:highlight w:val="cyan"/>
                <w:lang w:val="bs-Latn-BA" w:eastAsia="en-GB"/>
              </w:rPr>
              <w:t>Funkcija u finansijskoj instituciji /</w:t>
            </w:r>
            <w:proofErr w:type="spellStart"/>
            <w:r w:rsidRPr="002351D8">
              <w:rPr>
                <w:i/>
                <w:sz w:val="22"/>
                <w:szCs w:val="22"/>
                <w:highlight w:val="cyan"/>
                <w:lang w:val="bs-Latn-BA" w:eastAsia="en-GB"/>
              </w:rPr>
              <w:t>banci</w:t>
            </w:r>
            <w:proofErr w:type="spellEnd"/>
            <w:r w:rsidRPr="002351D8">
              <w:rPr>
                <w:sz w:val="22"/>
                <w:szCs w:val="22"/>
                <w:highlight w:val="cyan"/>
                <w:lang w:val="bs-Latn-BA" w:eastAsia="en-GB"/>
              </w:rPr>
              <w:t>]</w:t>
            </w:r>
          </w:p>
        </w:tc>
        <w:tc>
          <w:tcPr>
            <w:tcW w:w="4714" w:type="dxa"/>
            <w:shd w:val="clear" w:color="auto" w:fill="auto"/>
          </w:tcPr>
          <w:p w14:paraId="313754AB" w14:textId="77777777" w:rsidR="002351D8" w:rsidRPr="002351D8" w:rsidRDefault="002351D8" w:rsidP="00C04D13">
            <w:pPr>
              <w:spacing w:before="100" w:beforeAutospacing="1" w:after="100" w:afterAutospacing="1"/>
              <w:rPr>
                <w:sz w:val="22"/>
                <w:szCs w:val="22"/>
                <w:highlight w:val="cyan"/>
                <w:u w:val="single"/>
                <w:lang w:val="bs-Latn-BA" w:eastAsia="en-GB"/>
              </w:rPr>
            </w:pPr>
            <w:r w:rsidRPr="002351D8">
              <w:rPr>
                <w:sz w:val="22"/>
                <w:szCs w:val="22"/>
                <w:highlight w:val="cyan"/>
                <w:lang w:val="bs-Latn-BA" w:eastAsia="en-GB"/>
              </w:rPr>
              <w:t>[</w:t>
            </w:r>
            <w:r w:rsidRPr="002351D8">
              <w:rPr>
                <w:i/>
                <w:sz w:val="22"/>
                <w:szCs w:val="22"/>
                <w:highlight w:val="cyan"/>
                <w:lang w:val="bs-Latn-BA" w:eastAsia="en-GB"/>
              </w:rPr>
              <w:t>Potpis</w:t>
            </w:r>
            <w:r w:rsidRPr="002351D8">
              <w:rPr>
                <w:sz w:val="22"/>
                <w:szCs w:val="22"/>
                <w:highlight w:val="cyan"/>
                <w:u w:val="single"/>
                <w:lang w:val="bs-Latn-BA" w:eastAsia="en-GB"/>
              </w:rPr>
              <w:t>]</w:t>
            </w:r>
          </w:p>
          <w:p w14:paraId="6FDBF407" w14:textId="77777777" w:rsidR="002351D8" w:rsidRPr="002351D8" w:rsidRDefault="002351D8" w:rsidP="00C04D13">
            <w:pPr>
              <w:spacing w:before="100" w:beforeAutospacing="1" w:after="100" w:afterAutospacing="1"/>
              <w:rPr>
                <w:sz w:val="22"/>
                <w:szCs w:val="22"/>
                <w:highlight w:val="cyan"/>
                <w:lang w:val="bs-Latn-BA" w:eastAsia="en-GB"/>
              </w:rPr>
            </w:pPr>
            <w:r w:rsidRPr="002351D8">
              <w:rPr>
                <w:sz w:val="22"/>
                <w:szCs w:val="22"/>
                <w:highlight w:val="cyan"/>
                <w:lang w:val="bs-Latn-BA" w:eastAsia="en-GB"/>
              </w:rPr>
              <w:t>[</w:t>
            </w:r>
            <w:r w:rsidRPr="002351D8">
              <w:rPr>
                <w:i/>
                <w:sz w:val="22"/>
                <w:szCs w:val="22"/>
                <w:highlight w:val="cyan"/>
                <w:lang w:val="bs-Latn-BA" w:eastAsia="en-GB"/>
              </w:rPr>
              <w:t>Funkcija u finansijskoj instituciji /</w:t>
            </w:r>
            <w:proofErr w:type="spellStart"/>
            <w:r w:rsidRPr="002351D8">
              <w:rPr>
                <w:i/>
                <w:sz w:val="22"/>
                <w:szCs w:val="22"/>
                <w:highlight w:val="cyan"/>
                <w:lang w:val="bs-Latn-BA" w:eastAsia="en-GB"/>
              </w:rPr>
              <w:t>banci</w:t>
            </w:r>
            <w:proofErr w:type="spellEnd"/>
            <w:r w:rsidRPr="002351D8">
              <w:rPr>
                <w:sz w:val="22"/>
                <w:szCs w:val="22"/>
                <w:highlight w:val="cyan"/>
                <w:lang w:val="bs-Latn-BA" w:eastAsia="en-GB"/>
              </w:rPr>
              <w:t>]</w:t>
            </w:r>
          </w:p>
          <w:p w14:paraId="32B8011C" w14:textId="767489EB" w:rsidR="002351D8" w:rsidRPr="002351D8" w:rsidRDefault="002351D8" w:rsidP="00C04D13">
            <w:pPr>
              <w:spacing w:before="100" w:beforeAutospacing="1" w:after="100" w:afterAutospacing="1"/>
              <w:rPr>
                <w:sz w:val="22"/>
                <w:szCs w:val="22"/>
                <w:highlight w:val="cyan"/>
                <w:lang w:val="bs-Latn-BA" w:eastAsia="en-GB"/>
              </w:rPr>
            </w:pPr>
          </w:p>
        </w:tc>
      </w:tr>
    </w:tbl>
    <w:p w14:paraId="5EE0F06E" w14:textId="77777777" w:rsidR="002351D8" w:rsidRPr="002351D8" w:rsidRDefault="002351D8" w:rsidP="002351D8">
      <w:pPr>
        <w:jc w:val="both"/>
        <w:rPr>
          <w:b/>
          <w:sz w:val="22"/>
          <w:szCs w:val="22"/>
          <w:lang w:val="bs-Latn-BA"/>
        </w:rPr>
      </w:pPr>
      <w:r w:rsidRPr="002351D8">
        <w:rPr>
          <w:i/>
          <w:sz w:val="22"/>
          <w:szCs w:val="22"/>
          <w:highlight w:val="cyan"/>
          <w:lang w:val="bs-Latn-BA"/>
        </w:rPr>
        <w:t>Pečat ustanove koja izdaje garanciju</w:t>
      </w:r>
      <w:r w:rsidRPr="002351D8">
        <w:rPr>
          <w:i/>
          <w:sz w:val="22"/>
          <w:szCs w:val="22"/>
          <w:lang w:val="bs-Latn-BA"/>
        </w:rPr>
        <w:t xml:space="preserve"> </w:t>
      </w:r>
    </w:p>
    <w:p w14:paraId="7C6239A0" w14:textId="77777777" w:rsidR="00CA6879" w:rsidRPr="002351D8" w:rsidRDefault="00CA6879">
      <w:pPr>
        <w:jc w:val="both"/>
        <w:rPr>
          <w:sz w:val="22"/>
          <w:szCs w:val="22"/>
          <w:lang w:val="bs-Latn-BA"/>
        </w:rPr>
      </w:pPr>
    </w:p>
    <w:sectPr w:rsidR="00CA6879" w:rsidRPr="002351D8">
      <w:headerReference w:type="even" r:id="rId6"/>
      <w:headerReference w:type="default" r:id="rId7"/>
      <w:footerReference w:type="even" r:id="rId8"/>
      <w:footerReference w:type="default" r:id="rId9"/>
      <w:headerReference w:type="first" r:id="rId10"/>
      <w:footerReference w:type="first" r:id="rId11"/>
      <w:pgSz w:w="11907" w:h="16840"/>
      <w:pgMar w:top="1298" w:right="1298" w:bottom="1077" w:left="1298" w:header="720" w:footer="474"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415C99" w14:textId="77777777" w:rsidR="009A103A" w:rsidRDefault="009A103A">
      <w:r>
        <w:separator/>
      </w:r>
    </w:p>
  </w:endnote>
  <w:endnote w:type="continuationSeparator" w:id="0">
    <w:p w14:paraId="11459A88" w14:textId="77777777" w:rsidR="009A103A" w:rsidRDefault="009A10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C8FE1" w14:textId="77777777" w:rsidR="00CA6879" w:rsidRDefault="00CA6879">
    <w:pPr>
      <w:pBdr>
        <w:top w:val="nil"/>
        <w:left w:val="nil"/>
        <w:bottom w:val="nil"/>
        <w:right w:val="nil"/>
        <w:between w:val="nil"/>
      </w:pBdr>
      <w:tabs>
        <w:tab w:val="center" w:pos="4320"/>
        <w:tab w:val="right" w:pos="8640"/>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02A45" w14:textId="77777777" w:rsidR="00CA6879" w:rsidRDefault="00027BB5">
    <w:pPr>
      <w:pBdr>
        <w:top w:val="nil"/>
        <w:left w:val="nil"/>
        <w:bottom w:val="nil"/>
        <w:right w:val="nil"/>
        <w:between w:val="nil"/>
      </w:pBdr>
      <w:tabs>
        <w:tab w:val="right" w:pos="9072"/>
      </w:tabs>
      <w:ind w:right="360"/>
      <w:rPr>
        <w:color w:val="000000"/>
        <w:sz w:val="18"/>
        <w:szCs w:val="18"/>
      </w:rPr>
    </w:pPr>
    <w:r>
      <w:rPr>
        <w:b/>
        <w:color w:val="000000"/>
        <w:sz w:val="18"/>
        <w:szCs w:val="18"/>
      </w:rPr>
      <w:t>15 January 2016</w:t>
    </w:r>
    <w:r>
      <w:rPr>
        <w:b/>
        <w:color w:val="000000"/>
        <w:sz w:val="18"/>
        <w:szCs w:val="18"/>
      </w:rPr>
      <w:tab/>
    </w:r>
    <w:r>
      <w:rPr>
        <w:color w:val="000000"/>
        <w:sz w:val="18"/>
        <w:szCs w:val="18"/>
      </w:rPr>
      <w:t>Page</w:t>
    </w:r>
    <w:r>
      <w:rPr>
        <w:b/>
        <w:color w:val="000000"/>
        <w:sz w:val="18"/>
        <w:szCs w:val="18"/>
      </w:rPr>
      <w:t xml:space="preserve"> </w:t>
    </w:r>
    <w:r>
      <w:rPr>
        <w:color w:val="000000"/>
        <w:sz w:val="18"/>
        <w:szCs w:val="18"/>
      </w:rPr>
      <w:fldChar w:fldCharType="begin"/>
    </w:r>
    <w:r>
      <w:rPr>
        <w:color w:val="000000"/>
        <w:sz w:val="18"/>
        <w:szCs w:val="18"/>
      </w:rPr>
      <w:instrText>PAGE</w:instrText>
    </w:r>
    <w:r>
      <w:rPr>
        <w:color w:val="000000"/>
        <w:sz w:val="18"/>
        <w:szCs w:val="18"/>
      </w:rPr>
      <w:fldChar w:fldCharType="separate"/>
    </w:r>
    <w:r w:rsidR="00B6761C">
      <w:rPr>
        <w:noProof/>
        <w:color w:val="000000"/>
        <w:sz w:val="18"/>
        <w:szCs w:val="18"/>
      </w:rPr>
      <w:t>2</w:t>
    </w:r>
    <w:r>
      <w:rPr>
        <w:color w:val="000000"/>
        <w:sz w:val="18"/>
        <w:szCs w:val="18"/>
      </w:rPr>
      <w:fldChar w:fldCharType="end"/>
    </w:r>
    <w:r>
      <w:rPr>
        <w:color w:val="000000"/>
        <w:sz w:val="18"/>
        <w:szCs w:val="18"/>
      </w:rPr>
      <w:t xml:space="preserve"> of </w:t>
    </w:r>
    <w:r>
      <w:rPr>
        <w:color w:val="000000"/>
        <w:sz w:val="18"/>
        <w:szCs w:val="18"/>
      </w:rPr>
      <w:fldChar w:fldCharType="begin"/>
    </w:r>
    <w:r>
      <w:rPr>
        <w:color w:val="000000"/>
        <w:sz w:val="18"/>
        <w:szCs w:val="18"/>
      </w:rPr>
      <w:instrText>NUMPAGES</w:instrText>
    </w:r>
    <w:r>
      <w:rPr>
        <w:color w:val="000000"/>
        <w:sz w:val="18"/>
        <w:szCs w:val="18"/>
      </w:rPr>
      <w:fldChar w:fldCharType="separate"/>
    </w:r>
    <w:r w:rsidR="00B6761C">
      <w:rPr>
        <w:noProof/>
        <w:color w:val="000000"/>
        <w:sz w:val="18"/>
        <w:szCs w:val="18"/>
      </w:rPr>
      <w:t>2</w:t>
    </w:r>
    <w:r>
      <w:rPr>
        <w:color w:val="000000"/>
        <w:sz w:val="18"/>
        <w:szCs w:val="18"/>
      </w:rPr>
      <w:fldChar w:fldCharType="end"/>
    </w:r>
  </w:p>
  <w:p w14:paraId="18A2953A" w14:textId="77777777" w:rsidR="00CA6879" w:rsidRDefault="00027BB5">
    <w:pPr>
      <w:pBdr>
        <w:top w:val="nil"/>
        <w:left w:val="nil"/>
        <w:bottom w:val="nil"/>
        <w:right w:val="nil"/>
        <w:between w:val="nil"/>
      </w:pBdr>
      <w:tabs>
        <w:tab w:val="right" w:pos="9072"/>
      </w:tabs>
      <w:ind w:right="360"/>
      <w:rPr>
        <w:color w:val="000000"/>
        <w:sz w:val="18"/>
        <w:szCs w:val="18"/>
      </w:rPr>
    </w:pPr>
    <w:r>
      <w:rPr>
        <w:color w:val="000000"/>
        <w:sz w:val="18"/>
        <w:szCs w:val="18"/>
      </w:rPr>
      <w:t>d4q_prefinanceguarantee_en.doc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0C51C" w14:textId="2E0189BC" w:rsidR="00CA6879" w:rsidRDefault="00027BB5">
    <w:pPr>
      <w:pBdr>
        <w:top w:val="nil"/>
        <w:left w:val="nil"/>
        <w:bottom w:val="nil"/>
        <w:right w:val="nil"/>
        <w:between w:val="nil"/>
      </w:pBdr>
      <w:tabs>
        <w:tab w:val="right" w:pos="9072"/>
      </w:tabs>
      <w:ind w:right="360"/>
      <w:rPr>
        <w:color w:val="000000"/>
        <w:sz w:val="18"/>
        <w:szCs w:val="18"/>
      </w:rPr>
    </w:pPr>
    <w:r>
      <w:rPr>
        <w:b/>
        <w:color w:val="000000"/>
        <w:sz w:val="18"/>
        <w:szCs w:val="18"/>
      </w:rPr>
      <w:tab/>
    </w:r>
    <w:r w:rsidR="005B1CA7">
      <w:rPr>
        <w:b/>
        <w:color w:val="000000"/>
        <w:sz w:val="18"/>
        <w:szCs w:val="18"/>
      </w:rPr>
      <w:t>s</w:t>
    </w:r>
    <w:r w:rsidR="005B1CA7">
      <w:rPr>
        <w:color w:val="000000"/>
        <w:sz w:val="18"/>
        <w:szCs w:val="18"/>
      </w:rPr>
      <w:t>tr</w:t>
    </w:r>
    <w:r>
      <w:rPr>
        <w:b/>
        <w:color w:val="000000"/>
        <w:sz w:val="18"/>
        <w:szCs w:val="18"/>
      </w:rPr>
      <w:t xml:space="preserve"> </w:t>
    </w:r>
    <w:r>
      <w:rPr>
        <w:color w:val="000000"/>
        <w:sz w:val="18"/>
        <w:szCs w:val="18"/>
      </w:rPr>
      <w:fldChar w:fldCharType="begin"/>
    </w:r>
    <w:r>
      <w:rPr>
        <w:color w:val="000000"/>
        <w:sz w:val="18"/>
        <w:szCs w:val="18"/>
      </w:rPr>
      <w:instrText>PAGE</w:instrText>
    </w:r>
    <w:r>
      <w:rPr>
        <w:color w:val="000000"/>
        <w:sz w:val="18"/>
        <w:szCs w:val="18"/>
      </w:rPr>
      <w:fldChar w:fldCharType="separate"/>
    </w:r>
    <w:r w:rsidR="004002FC">
      <w:rPr>
        <w:noProof/>
        <w:color w:val="000000"/>
        <w:sz w:val="18"/>
        <w:szCs w:val="18"/>
      </w:rPr>
      <w:t>1</w:t>
    </w:r>
    <w:r>
      <w:rPr>
        <w:color w:val="000000"/>
        <w:sz w:val="18"/>
        <w:szCs w:val="18"/>
      </w:rPr>
      <w:fldChar w:fldCharType="end"/>
    </w:r>
    <w:r>
      <w:rPr>
        <w:color w:val="000000"/>
        <w:sz w:val="18"/>
        <w:szCs w:val="18"/>
      </w:rPr>
      <w:t xml:space="preserve"> o</w:t>
    </w:r>
    <w:r w:rsidR="005B1CA7">
      <w:rPr>
        <w:color w:val="000000"/>
        <w:sz w:val="18"/>
        <w:szCs w:val="18"/>
      </w:rPr>
      <w:t>d</w:t>
    </w:r>
    <w:r>
      <w:rPr>
        <w:color w:val="000000"/>
        <w:sz w:val="18"/>
        <w:szCs w:val="18"/>
      </w:rPr>
      <w:t xml:space="preserve"> </w:t>
    </w:r>
    <w:r>
      <w:rPr>
        <w:color w:val="000000"/>
        <w:sz w:val="18"/>
        <w:szCs w:val="18"/>
      </w:rPr>
      <w:fldChar w:fldCharType="begin"/>
    </w:r>
    <w:r>
      <w:rPr>
        <w:color w:val="000000"/>
        <w:sz w:val="18"/>
        <w:szCs w:val="18"/>
      </w:rPr>
      <w:instrText>NUMPAGES</w:instrText>
    </w:r>
    <w:r>
      <w:rPr>
        <w:color w:val="000000"/>
        <w:sz w:val="18"/>
        <w:szCs w:val="18"/>
      </w:rPr>
      <w:fldChar w:fldCharType="separate"/>
    </w:r>
    <w:r w:rsidR="004002FC">
      <w:rPr>
        <w:noProof/>
        <w:color w:val="000000"/>
        <w:sz w:val="18"/>
        <w:szCs w:val="18"/>
      </w:rPr>
      <w:t>1</w:t>
    </w:r>
    <w:r>
      <w:rPr>
        <w:color w:val="000000"/>
        <w:sz w:val="18"/>
        <w:szCs w:val="18"/>
      </w:rPr>
      <w:fldChar w:fldCharType="end"/>
    </w:r>
  </w:p>
  <w:p w14:paraId="00C668F1" w14:textId="77777777" w:rsidR="00CA6879" w:rsidRDefault="00CA6879">
    <w:pPr>
      <w:pBdr>
        <w:top w:val="nil"/>
        <w:left w:val="nil"/>
        <w:bottom w:val="nil"/>
        <w:right w:val="nil"/>
        <w:between w:val="nil"/>
      </w:pBdr>
      <w:tabs>
        <w:tab w:val="right" w:pos="9072"/>
      </w:tabs>
      <w:ind w:right="360"/>
      <w:rPr>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0C3307" w14:textId="77777777" w:rsidR="009A103A" w:rsidRDefault="009A103A">
      <w:r>
        <w:separator/>
      </w:r>
    </w:p>
  </w:footnote>
  <w:footnote w:type="continuationSeparator" w:id="0">
    <w:p w14:paraId="44FDCE85" w14:textId="77777777" w:rsidR="009A103A" w:rsidRDefault="009A10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4FB67" w14:textId="77777777" w:rsidR="00CA6879" w:rsidRDefault="00CA6879">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BCB23C" w14:textId="77777777" w:rsidR="00CA6879" w:rsidRDefault="00CA6879">
    <w:pPr>
      <w:pBdr>
        <w:top w:val="nil"/>
        <w:left w:val="nil"/>
        <w:bottom w:val="nil"/>
        <w:right w:val="nil"/>
        <w:between w:val="nil"/>
      </w:pBdr>
      <w:tabs>
        <w:tab w:val="center" w:pos="4536"/>
        <w:tab w:val="right" w:pos="9072"/>
      </w:tabs>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1C615A" w14:textId="5C2EC35A" w:rsidR="00EB3D78" w:rsidRDefault="00575926" w:rsidP="00EB3D78">
    <w:pPr>
      <w:rPr>
        <w:b/>
        <w:bCs/>
        <w:sz w:val="20"/>
        <w:szCs w:val="20"/>
      </w:rPr>
    </w:pPr>
    <w:r>
      <w:rPr>
        <w:noProof/>
        <w:lang w:val="en-US"/>
      </w:rPr>
      <w:drawing>
        <wp:inline distT="0" distB="0" distL="0" distR="0" wp14:anchorId="09092C0A" wp14:editId="3FEB3507">
          <wp:extent cx="2865120" cy="853440"/>
          <wp:effectExtent l="0" t="0" r="0" b="3810"/>
          <wp:docPr id="276486554" name="Picture 1" descr="A blue flag with yellow do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486554" name="Picture 1" descr="A blue flag with yellow dots&#10;&#10;Description automatically generate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865120" cy="853440"/>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879"/>
    <w:rsid w:val="00027BB5"/>
    <w:rsid w:val="00211350"/>
    <w:rsid w:val="002351D8"/>
    <w:rsid w:val="002942B3"/>
    <w:rsid w:val="003657BD"/>
    <w:rsid w:val="004002FC"/>
    <w:rsid w:val="00575926"/>
    <w:rsid w:val="005B1CA7"/>
    <w:rsid w:val="009A103A"/>
    <w:rsid w:val="009C6377"/>
    <w:rsid w:val="00A9471A"/>
    <w:rsid w:val="00B6761C"/>
    <w:rsid w:val="00BE3223"/>
    <w:rsid w:val="00CA6879"/>
    <w:rsid w:val="00E94D02"/>
    <w:rsid w:val="00EB3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A01136"/>
  <w15:docId w15:val="{DA2D82DE-FD5A-4D5C-9E71-F7650612FF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GB"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jc w:val="center"/>
      <w:outlineLvl w:val="0"/>
    </w:pPr>
    <w:rPr>
      <w:rFonts w:ascii="Arial" w:eastAsia="Arial" w:hAnsi="Arial" w:cs="Arial"/>
      <w:b/>
      <w:color w:val="FF0000"/>
      <w:sz w:val="28"/>
      <w:szCs w:val="28"/>
    </w:rPr>
  </w:style>
  <w:style w:type="paragraph" w:styleId="Heading2">
    <w:name w:val="heading 2"/>
    <w:basedOn w:val="Normal"/>
    <w:next w:val="Normal"/>
    <w:pPr>
      <w:keepNext/>
      <w:ind w:left="1276" w:hanging="425"/>
      <w:jc w:val="both"/>
      <w:outlineLvl w:val="1"/>
    </w:pPr>
    <w:rPr>
      <w:rFonts w:ascii="Arial" w:eastAsia="Arial" w:hAnsi="Arial" w:cs="Arial"/>
      <w:b/>
      <w:sz w:val="20"/>
      <w:szCs w:val="20"/>
    </w:rPr>
  </w:style>
  <w:style w:type="paragraph" w:styleId="Heading3">
    <w:name w:val="heading 3"/>
    <w:basedOn w:val="Normal"/>
    <w:next w:val="Normal"/>
    <w:pPr>
      <w:keepNext/>
      <w:jc w:val="center"/>
      <w:outlineLvl w:val="2"/>
    </w:pPr>
    <w:rPr>
      <w:rFonts w:ascii="Arial" w:eastAsia="Arial" w:hAnsi="Arial" w:cs="Arial"/>
      <w:b/>
      <w:color w:val="FF0000"/>
      <w:sz w:val="36"/>
      <w:szCs w:val="36"/>
    </w:rPr>
  </w:style>
  <w:style w:type="paragraph" w:styleId="Heading4">
    <w:name w:val="heading 4"/>
    <w:basedOn w:val="Normal"/>
    <w:next w:val="Normal"/>
    <w:pPr>
      <w:keepNext/>
      <w:spacing w:before="240" w:after="60"/>
      <w:outlineLvl w:val="3"/>
    </w:pPr>
    <w:rPr>
      <w:rFonts w:ascii="Arial" w:eastAsia="Arial" w:hAnsi="Arial" w:cs="Arial"/>
      <w:b/>
    </w:rPr>
  </w:style>
  <w:style w:type="paragraph" w:styleId="Heading5">
    <w:name w:val="heading 5"/>
    <w:basedOn w:val="Normal"/>
    <w:next w:val="Normal"/>
    <w:pPr>
      <w:keepNext/>
      <w:jc w:val="both"/>
      <w:outlineLvl w:val="4"/>
    </w:pPr>
    <w:rPr>
      <w:rFonts w:ascii="Arial" w:eastAsia="Arial" w:hAnsi="Arial" w:cs="Arial"/>
      <w:b/>
      <w:sz w:val="20"/>
      <w:szCs w:val="20"/>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spacing w:before="120" w:after="120"/>
      <w:jc w:val="center"/>
    </w:pPr>
    <w:rPr>
      <w:rFonts w:ascii="Arial" w:eastAsia="Arial" w:hAnsi="Arial" w:cs="Arial"/>
      <w:b/>
      <w:sz w:val="28"/>
      <w:szCs w:val="28"/>
    </w:rPr>
  </w:style>
  <w:style w:type="paragraph" w:styleId="Subtitle">
    <w:name w:val="Subtitle"/>
    <w:basedOn w:val="Normal"/>
    <w:next w:val="Normal"/>
    <w:pPr>
      <w:spacing w:before="120" w:after="120"/>
      <w:jc w:val="center"/>
    </w:pPr>
    <w:rPr>
      <w:rFonts w:ascii="Arial" w:eastAsia="Arial" w:hAnsi="Arial" w:cs="Arial"/>
      <w:b/>
      <w:sz w:val="28"/>
      <w:szCs w:val="28"/>
    </w:rPr>
  </w:style>
  <w:style w:type="table" w:customStyle="1" w:styleId="a">
    <w:basedOn w:val="TableNormal"/>
    <w:tblPr>
      <w:tblStyleRowBandSize w:val="1"/>
      <w:tblStyleColBandSize w:val="1"/>
    </w:tblPr>
  </w:style>
  <w:style w:type="paragraph" w:styleId="BalloonText">
    <w:name w:val="Balloon Text"/>
    <w:basedOn w:val="Normal"/>
    <w:link w:val="BalloonTextChar"/>
    <w:uiPriority w:val="99"/>
    <w:semiHidden/>
    <w:unhideWhenUsed/>
    <w:rsid w:val="005B1CA7"/>
    <w:rPr>
      <w:rFonts w:ascii="Tahoma" w:hAnsi="Tahoma" w:cs="Tahoma"/>
      <w:sz w:val="16"/>
      <w:szCs w:val="16"/>
    </w:rPr>
  </w:style>
  <w:style w:type="character" w:customStyle="1" w:styleId="BalloonTextChar">
    <w:name w:val="Balloon Text Char"/>
    <w:basedOn w:val="DefaultParagraphFont"/>
    <w:link w:val="BalloonText"/>
    <w:uiPriority w:val="99"/>
    <w:semiHidden/>
    <w:rsid w:val="005B1CA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6343827">
      <w:bodyDiv w:val="1"/>
      <w:marLeft w:val="0"/>
      <w:marRight w:val="0"/>
      <w:marTop w:val="0"/>
      <w:marBottom w:val="0"/>
      <w:divBdr>
        <w:top w:val="none" w:sz="0" w:space="0" w:color="auto"/>
        <w:left w:val="none" w:sz="0" w:space="0" w:color="auto"/>
        <w:bottom w:val="none" w:sz="0" w:space="0" w:color="auto"/>
        <w:right w:val="none" w:sz="0" w:space="0" w:color="auto"/>
      </w:divBdr>
    </w:div>
    <w:div w:id="1168472894">
      <w:bodyDiv w:val="1"/>
      <w:marLeft w:val="0"/>
      <w:marRight w:val="0"/>
      <w:marTop w:val="0"/>
      <w:marBottom w:val="0"/>
      <w:divBdr>
        <w:top w:val="none" w:sz="0" w:space="0" w:color="auto"/>
        <w:left w:val="none" w:sz="0" w:space="0" w:color="auto"/>
        <w:bottom w:val="none" w:sz="0" w:space="0" w:color="auto"/>
        <w:right w:val="none" w:sz="0" w:space="0" w:color="auto"/>
      </w:divBdr>
    </w:div>
    <w:div w:id="1426607053">
      <w:bodyDiv w:val="1"/>
      <w:marLeft w:val="0"/>
      <w:marRight w:val="0"/>
      <w:marTop w:val="0"/>
      <w:marBottom w:val="0"/>
      <w:divBdr>
        <w:top w:val="none" w:sz="0" w:space="0" w:color="auto"/>
        <w:left w:val="none" w:sz="0" w:space="0" w:color="auto"/>
        <w:bottom w:val="none" w:sz="0" w:space="0" w:color="auto"/>
        <w:right w:val="none" w:sz="0" w:space="0" w:color="auto"/>
      </w:divBdr>
    </w:div>
    <w:div w:id="1636789679">
      <w:bodyDiv w:val="1"/>
      <w:marLeft w:val="0"/>
      <w:marRight w:val="0"/>
      <w:marTop w:val="0"/>
      <w:marBottom w:val="0"/>
      <w:divBdr>
        <w:top w:val="none" w:sz="0" w:space="0" w:color="auto"/>
        <w:left w:val="none" w:sz="0" w:space="0" w:color="auto"/>
        <w:bottom w:val="none" w:sz="0" w:space="0" w:color="auto"/>
        <w:right w:val="none" w:sz="0" w:space="0" w:color="auto"/>
      </w:divBdr>
    </w:div>
    <w:div w:id="1807967862">
      <w:bodyDiv w:val="1"/>
      <w:marLeft w:val="0"/>
      <w:marRight w:val="0"/>
      <w:marTop w:val="0"/>
      <w:marBottom w:val="0"/>
      <w:divBdr>
        <w:top w:val="none" w:sz="0" w:space="0" w:color="auto"/>
        <w:left w:val="none" w:sz="0" w:space="0" w:color="auto"/>
        <w:bottom w:val="none" w:sz="0" w:space="0" w:color="auto"/>
        <w:right w:val="none" w:sz="0" w:space="0" w:color="auto"/>
      </w:divBdr>
    </w:div>
    <w:div w:id="18817434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371</Words>
  <Characters>2119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Kristijan Futač</dc:creator>
  <cp:lastModifiedBy>Edin Zahirovic</cp:lastModifiedBy>
  <cp:revision>3</cp:revision>
  <dcterms:created xsi:type="dcterms:W3CDTF">2024-10-24T13:40:00Z</dcterms:created>
  <dcterms:modified xsi:type="dcterms:W3CDTF">2024-11-01T08:03:00Z</dcterms:modified>
</cp:coreProperties>
</file>